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C185E" w14:textId="77777777" w:rsidR="00D033A4" w:rsidRPr="00D033A4" w:rsidRDefault="00D033A4" w:rsidP="00D033A4">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D033A4">
        <w:rPr>
          <w:rFonts w:ascii="Lato" w:eastAsia="Times New Roman" w:hAnsi="Lato" w:cs="Times New Roman"/>
          <w:color w:val="CC3300"/>
          <w:kern w:val="36"/>
          <w:sz w:val="36"/>
          <w:szCs w:val="36"/>
          <w:lang w:eastAsia="fr-BE"/>
          <w14:ligatures w14:val="none"/>
        </w:rPr>
        <w:t>Des signes encourageants du côté de la demande chinoise</w:t>
      </w:r>
    </w:p>
    <w:p w14:paraId="0CD33172" w14:textId="77777777" w:rsidR="00D033A4" w:rsidRDefault="00D033A4" w:rsidP="00D033A4">
      <w:pPr>
        <w:shd w:val="clear" w:color="auto" w:fill="FFFFFF"/>
        <w:spacing w:before="75" w:after="75" w:line="240" w:lineRule="auto"/>
        <w:jc w:val="both"/>
        <w:rPr>
          <w:rFonts w:ascii="Lato" w:eastAsia="Times New Roman" w:hAnsi="Lato" w:cs="Times New Roman"/>
          <w:i/>
          <w:iCs/>
          <w:color w:val="000000"/>
          <w:kern w:val="0"/>
          <w:sz w:val="23"/>
          <w:szCs w:val="23"/>
          <w:lang w:eastAsia="fr-BE"/>
          <w14:ligatures w14:val="none"/>
        </w:rPr>
      </w:pPr>
    </w:p>
    <w:p w14:paraId="4E1DFCD3" w14:textId="0D0B7D51" w:rsidR="00D033A4" w:rsidRPr="00D033A4" w:rsidRDefault="00D033A4" w:rsidP="00D033A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D033A4">
        <w:rPr>
          <w:rFonts w:ascii="Lato" w:eastAsia="Times New Roman" w:hAnsi="Lato" w:cs="Times New Roman"/>
          <w:color w:val="000000"/>
          <w:kern w:val="0"/>
          <w:sz w:val="23"/>
          <w:szCs w:val="23"/>
          <w:lang w:eastAsia="fr-BE"/>
          <w14:ligatures w14:val="none"/>
        </w:rPr>
        <w:t>Le </w:t>
      </w:r>
      <w:r w:rsidRPr="00D033A4">
        <w:rPr>
          <w:rFonts w:ascii="Lato" w:eastAsia="Times New Roman" w:hAnsi="Lato" w:cs="Times New Roman"/>
          <w:color w:val="000000"/>
          <w:kern w:val="0"/>
          <w:sz w:val="23"/>
          <w:szCs w:val="23"/>
          <w:u w:val="single"/>
          <w:lang w:eastAsia="fr-BE"/>
          <w14:ligatures w14:val="none"/>
        </w:rPr>
        <w:t>cuivre</w:t>
      </w:r>
      <w:r w:rsidRPr="00D033A4">
        <w:rPr>
          <w:rFonts w:ascii="Lato" w:eastAsia="Times New Roman" w:hAnsi="Lato" w:cs="Times New Roman"/>
          <w:color w:val="000000"/>
          <w:kern w:val="0"/>
          <w:sz w:val="23"/>
          <w:szCs w:val="23"/>
          <w:lang w:eastAsia="fr-BE"/>
          <w14:ligatures w14:val="none"/>
        </w:rPr>
        <w:t> est orienté à la hausse ce matin, les efforts fournis par la Chine pour stabiliser sa devise aiguisant l’appétit des investisseurs pour les actifs dits risqués. La fermeté du dollar freine cependant ses velléités haussières.</w:t>
      </w:r>
    </w:p>
    <w:p w14:paraId="6F791652" w14:textId="77777777" w:rsidR="00D033A4" w:rsidRPr="00D033A4" w:rsidRDefault="00D033A4" w:rsidP="00D033A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D033A4">
        <w:rPr>
          <w:rFonts w:ascii="Lato" w:eastAsia="Times New Roman" w:hAnsi="Lato" w:cs="Times New Roman"/>
          <w:color w:val="000000"/>
          <w:kern w:val="0"/>
          <w:sz w:val="23"/>
          <w:szCs w:val="23"/>
          <w:lang w:eastAsia="fr-BE"/>
          <w14:ligatures w14:val="none"/>
        </w:rPr>
        <w:t xml:space="preserve">Sur le LME, le cours du cuivre pour livraison à 3 mois affiche une progression de 0,5 % depuis l’ouverture, à 8.400 $/tonne. Le contrat le plus échangé sur le </w:t>
      </w:r>
      <w:proofErr w:type="spellStart"/>
      <w:r w:rsidRPr="00D033A4">
        <w:rPr>
          <w:rFonts w:ascii="Lato" w:eastAsia="Times New Roman" w:hAnsi="Lato" w:cs="Times New Roman"/>
          <w:color w:val="000000"/>
          <w:kern w:val="0"/>
          <w:sz w:val="23"/>
          <w:szCs w:val="23"/>
          <w:lang w:eastAsia="fr-BE"/>
          <w14:ligatures w14:val="none"/>
        </w:rPr>
        <w:t>ShFE</w:t>
      </w:r>
      <w:proofErr w:type="spellEnd"/>
      <w:r w:rsidRPr="00D033A4">
        <w:rPr>
          <w:rFonts w:ascii="Lato" w:eastAsia="Times New Roman" w:hAnsi="Lato" w:cs="Times New Roman"/>
          <w:color w:val="000000"/>
          <w:kern w:val="0"/>
          <w:sz w:val="23"/>
          <w:szCs w:val="23"/>
          <w:lang w:eastAsia="fr-BE"/>
          <w14:ligatures w14:val="none"/>
        </w:rPr>
        <w:t xml:space="preserve"> (échéance septembre) est quant à lui en hausse de 0,7 %, à 69.020 yuans (9.478,82 $) la tonne.</w:t>
      </w:r>
    </w:p>
    <w:p w14:paraId="135A48AB" w14:textId="77777777" w:rsidR="00D033A4" w:rsidRPr="00D033A4" w:rsidRDefault="00D033A4" w:rsidP="00D033A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D033A4">
        <w:rPr>
          <w:rFonts w:ascii="Lato" w:eastAsia="Times New Roman" w:hAnsi="Lato" w:cs="Times New Roman"/>
          <w:color w:val="000000"/>
          <w:kern w:val="0"/>
          <w:sz w:val="23"/>
          <w:szCs w:val="23"/>
          <w:lang w:eastAsia="fr-BE"/>
          <w14:ligatures w14:val="none"/>
        </w:rPr>
        <w:t>Pékin a pris des mesures pour stabiliser le yuan, qui a chuté de 5 % face au dollar cette année, une mesure accueillie positivement par les investisseurs.</w:t>
      </w:r>
    </w:p>
    <w:p w14:paraId="09A28BC9" w14:textId="77777777" w:rsidR="00D033A4" w:rsidRPr="00D033A4" w:rsidRDefault="00D033A4" w:rsidP="00D033A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D033A4">
        <w:rPr>
          <w:rFonts w:ascii="Lato" w:eastAsia="Times New Roman" w:hAnsi="Lato" w:cs="Times New Roman"/>
          <w:color w:val="000000"/>
          <w:kern w:val="0"/>
          <w:sz w:val="23"/>
          <w:szCs w:val="23"/>
          <w:lang w:eastAsia="fr-BE"/>
          <w14:ligatures w14:val="none"/>
        </w:rPr>
        <w:t>Les analystes d’ANZ soulignent en outre que des signaux positifs émergent concernant la demande. Ainsi, le marché spot chinois enregistre-t-il un regain d’activité. De plus, les perspectives de renforcement de la demande à compter de septembre, une période traditionnellement robuste, viennent s’ajouter aux facteurs encourageants. Enfin, le marché automobile chinois a vu ses ventes progresser au cours des deux premières semaines du mois d’août, et les prévisions de production du secteur de la climatisation sont en hausse. </w:t>
      </w:r>
    </w:p>
    <w:p w14:paraId="3BD95252" w14:textId="77777777" w:rsidR="00D033A4" w:rsidRPr="00D033A4" w:rsidRDefault="00D033A4" w:rsidP="00D033A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D033A4">
        <w:rPr>
          <w:rFonts w:ascii="Lato" w:eastAsia="Times New Roman" w:hAnsi="Lato" w:cs="Times New Roman"/>
          <w:color w:val="000000"/>
          <w:kern w:val="0"/>
          <w:sz w:val="23"/>
          <w:szCs w:val="23"/>
          <w:lang w:eastAsia="fr-BE"/>
          <w14:ligatures w14:val="none"/>
        </w:rPr>
        <w:t>Seule ombre au tableau aujourd’hui, le dollar, qui malgré un léger retrait, évolue près de ses pics de 2 mois.</w:t>
      </w:r>
    </w:p>
    <w:p w14:paraId="59B3FAAF"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3A4"/>
    <w:rsid w:val="00287462"/>
    <w:rsid w:val="00D033A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D1E33"/>
  <w15:chartTrackingRefBased/>
  <w15:docId w15:val="{C9D46FE1-7A76-49F6-B0EA-385EFCF2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43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1139</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2023-08-28T07:18:00Z</dcterms:created>
  <dcterms:modified xsi:type="dcterms:W3CDTF">2023-08-28T07:19:00Z</dcterms:modified>
</cp:coreProperties>
</file>